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关于开展全省技工院校教师正高级职称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评审答辩工作的通知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各市（地）人力资源和社会保障局、省直各主管部门、各技工院校：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6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现将全省技工院校教师正高级职称评审答辩工作具体事宜通知如下：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65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答辩对象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全省技工院校教师正高级职称全体申报人员。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答辩时间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2018年12月20日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答辩地点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哈尔滨市昆仑大酒店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答辩流程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（一）答辩对象先抽签确定答辩顺序。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（二）答辩对象到指定候考区等待答辩。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（三）工作人员引导答辩对象到指定地点参加答辩。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（四）答辩结束后，答辩对象直接离开昆仑酒店。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答辩内容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　　（一）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答辩对象参加现场答辩时，要对任现职以来专业技术工作进行述职，时间控制在3-5分钟以内，述职内容主要是评审标准中规定的专业技术水平、实践经验、工作业绩、学术成果等。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　　（二）评审专家根据答辩对象提供的答辩论文内容，提出专业问题，由答辩对象解答，以此考核答辩对象的专业素质。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黑体" w:hAnsi="黑体" w:eastAsia="黑体" w:cs="黑体"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kern w:val="44"/>
          <w:sz w:val="32"/>
          <w:szCs w:val="32"/>
          <w:lang w:eastAsia="zh-CN"/>
        </w:rPr>
        <w:t>具体要求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（一）各地人社部门、各省直主管部门立即将此通知转发各申报院校，务必通知到申报本人，做好答辩准备，并将《答辩通知情况反馈表》于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12月14日前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反馈我处邮箱：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HL87130566＠163.com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（二）全体答辩对象要于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12月20日早8点准时到昆仑酒店报到。未报到人员视为自动放弃申报工作。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附件：答辩通知情况反馈表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　　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省人社厅技工教育处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2018年12月13日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答辩通知情况反馈表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地市人社局（主管部门）：　　　　　　　　　　　　　　　　　　　经办人：</w:t>
      </w:r>
    </w:p>
    <w:tbl>
      <w:tblPr>
        <w:tblStyle w:val="5"/>
        <w:tblW w:w="13871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700"/>
        <w:gridCol w:w="1848"/>
        <w:gridCol w:w="2"/>
        <w:gridCol w:w="2772"/>
        <w:gridCol w:w="2774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3700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通知院校（单位）</w:t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答辩对象</w:t>
            </w:r>
          </w:p>
        </w:tc>
        <w:tc>
          <w:tcPr>
            <w:tcW w:w="2772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2774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已经通知（是/否）</w:t>
            </w:r>
          </w:p>
        </w:tc>
        <w:tc>
          <w:tcPr>
            <w:tcW w:w="2775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3700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3700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3700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3700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tcBorders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3700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3700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3700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3700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tcBorders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备注：答辩对象是全体正高级职称申报人员，请各地人社局（主管部门）务必通知到答辩对象本人，及时反馈通知情况。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CF8B"/>
    <w:multiLevelType w:val="singleLevel"/>
    <w:tmpl w:val="5C11CF8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0172"/>
    <w:rsid w:val="178D2267"/>
    <w:rsid w:val="1C193E99"/>
    <w:rsid w:val="1E506D77"/>
    <w:rsid w:val="24520172"/>
    <w:rsid w:val="653C375B"/>
    <w:rsid w:val="755102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2018-12-13T03:01:00Z</dcterms:created>
  <dc:creator>lenovo</dc:creator>
  <cp:lastModifiedBy>lenovo</cp:lastModifiedBy>
  <cp:lastPrinted>2018-12-13T05:43:22Z</cp:lastPrinted>
  <dcterms:modified xsi:type="dcterms:W3CDTF">2018-12-13T08:46:47Z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